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Порядок расчета стоимости электрической энергии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мощности</w:t>
      </w:r>
      <w:r>
        <w:rPr>
          <w:rFonts w:ascii="Arial" w:hAnsi="Arial"/>
          <w:b w:val="1"/>
          <w:bCs w:val="1"/>
          <w:rtl w:val="0"/>
          <w:lang w:val="ru-RU"/>
        </w:rPr>
        <w:t>)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по договору энергоснабжения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купли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продажи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поставки</w:t>
      </w:r>
      <w:r>
        <w:rPr>
          <w:rFonts w:ascii="Arial" w:hAnsi="Arial"/>
          <w:b w:val="1"/>
          <w:bCs w:val="1"/>
          <w:rtl w:val="0"/>
          <w:lang w:val="ru-RU"/>
        </w:rPr>
        <w:t>)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электрической энергии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мощности</w:t>
      </w:r>
      <w:r>
        <w:rPr>
          <w:rFonts w:ascii="Arial" w:hAnsi="Arial"/>
          <w:b w:val="1"/>
          <w:bCs w:val="1"/>
          <w:rtl w:val="0"/>
          <w:lang w:val="ru-RU"/>
        </w:rPr>
        <w:t>)).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Для физических лиц</w:t>
      </w:r>
    </w:p>
    <w:p>
      <w:pPr>
        <w:pStyle w:val="Normal.0"/>
        <w:ind w:firstLine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Реализация электроэнергии на розничном рынке для населения и приравненных к нему категорий потребителей осуществляется по регулируемым ценам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Стоимость электрической энергии для населения и приравненных к нему категорий потребителей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потреблённой за расчётный период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определяется исходя из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объёма поставки электрической энергии в расчётном периоде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действующего в расчетном периоде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"http://www.esbvolga.ru/rates/polnaya-versiya-tarifov/"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тарифа на электрическую энергию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установленного Департаментом цен и тарифов администрации Владимирской области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повышающих коэффициентов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 соответствии с п</w:t>
      </w:r>
      <w:r>
        <w:rPr>
          <w:rFonts w:ascii="Times New Roman" w:hAnsi="Times New Roman"/>
          <w:rtl w:val="0"/>
          <w:lang w:val="ru-RU"/>
        </w:rPr>
        <w:t xml:space="preserve">. 42, 60, 62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/>
          <w:rtl w:val="0"/>
          <w:lang w:val="ru-RU"/>
        </w:rPr>
        <w:t xml:space="preserve">81(11) </w:t>
      </w:r>
      <w:r>
        <w:rPr>
          <w:rFonts w:ascii="Times New Roman" w:hAnsi="Times New Roman" w:hint="default"/>
          <w:rtl w:val="0"/>
          <w:lang w:val="ru-RU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rtl w:val="0"/>
          <w:lang w:val="ru-RU"/>
        </w:rPr>
        <w:t>06.05.2011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354). </w:t>
      </w:r>
    </w:p>
    <w:p>
      <w:pPr>
        <w:pStyle w:val="Normal.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Перечень категорий потребителей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приравнены к населению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приведен в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"http://www.consultant.ru/document/cons_doc_LAW_125116/36ec7d34f38bf9495849673b830be1a1c80cc06c/"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Приложении № </w:t>
      </w:r>
      <w:r>
        <w:rPr>
          <w:rStyle w:val="Hyperlink.1"/>
          <w:rtl w:val="0"/>
          <w:lang w:val="ru-RU"/>
        </w:rPr>
        <w:t>1</w:t>
      </w:r>
      <w:r>
        <w:rPr/>
        <w:fldChar w:fldCharType="end" w:fldLock="0"/>
      </w:r>
      <w:r>
        <w:rPr>
          <w:rFonts w:ascii="Times New Roman" w:hAnsi="Times New Roman" w:hint="default"/>
          <w:rtl w:val="0"/>
          <w:lang w:val="ru-RU"/>
        </w:rPr>
        <w:t xml:space="preserve"> Постановления Правительства Российской Федерации от </w:t>
      </w:r>
      <w:r>
        <w:rPr>
          <w:rFonts w:ascii="Times New Roman" w:hAnsi="Times New Roman"/>
          <w:rtl w:val="0"/>
          <w:lang w:val="ru-RU"/>
        </w:rPr>
        <w:t>29.12.2011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1178 </w:t>
      </w:r>
      <w:r>
        <w:rPr>
          <w:rFonts w:ascii="Times New Roman" w:hAnsi="Times New Roman" w:hint="default"/>
          <w:rtl w:val="0"/>
          <w:lang w:val="ru-RU"/>
        </w:rPr>
        <w:t xml:space="preserve">«О ценообразовании в области регулируемых цен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тарифов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электроэнергетике»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соответствии с Жилищным кодексом Российской Федерации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155 </w:t>
      </w:r>
      <w:r>
        <w:rPr>
          <w:rFonts w:ascii="Times New Roman" w:hAnsi="Times New Roman" w:hint="default"/>
          <w:rtl w:val="0"/>
          <w:lang w:val="ru-RU"/>
        </w:rPr>
        <w:t>и ст</w:t>
      </w:r>
      <w:r>
        <w:rPr>
          <w:rFonts w:ascii="Times New Roman" w:hAnsi="Times New Roman"/>
          <w:rtl w:val="0"/>
          <w:lang w:val="ru-RU"/>
        </w:rPr>
        <w:t xml:space="preserve">. 157) </w:t>
      </w:r>
      <w:r>
        <w:rPr>
          <w:rFonts w:ascii="Times New Roman" w:hAnsi="Times New Roman" w:hint="default"/>
          <w:rtl w:val="0"/>
          <w:lang w:val="ru-RU"/>
        </w:rPr>
        <w:t xml:space="preserve">и «Правилами предоставления коммунальных услуг собственникам и пользователям помещений в многоквартирных домах и жилых домов»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раздел </w:t>
      </w:r>
      <w:r>
        <w:rPr>
          <w:rFonts w:ascii="Times New Roman" w:hAnsi="Times New Roman"/>
          <w:rtl w:val="0"/>
          <w:lang w:val="ru-RU"/>
        </w:rPr>
        <w:t xml:space="preserve">VI), </w:t>
      </w:r>
      <w:r>
        <w:rPr>
          <w:rFonts w:ascii="Times New Roman" w:hAnsi="Times New Roman" w:hint="default"/>
          <w:rtl w:val="0"/>
          <w:lang w:val="ru-RU"/>
        </w:rPr>
        <w:t xml:space="preserve">утвержденных Постановлением Правительства Российской Федерации от </w:t>
      </w:r>
      <w:r>
        <w:rPr>
          <w:rFonts w:ascii="Times New Roman" w:hAnsi="Times New Roman"/>
          <w:rtl w:val="0"/>
          <w:lang w:val="ru-RU"/>
        </w:rPr>
        <w:t>06.05.2011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354, </w:t>
      </w:r>
      <w:r>
        <w:rPr>
          <w:rFonts w:ascii="Times New Roman" w:hAnsi="Times New Roman" w:hint="default"/>
          <w:rtl w:val="0"/>
          <w:lang w:val="ru-RU"/>
        </w:rPr>
        <w:t>расчет размера платы за электроэнергию производится одним из следующих методов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по показаниям расчетного прибора учета – в случае наличия исправного прибора учета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отвечающего требованиям нормативно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технической документации и принятого к расчетам АО «ВКС»</w:t>
      </w:r>
      <w:r>
        <w:rPr>
          <w:rFonts w:ascii="Times New Roman" w:hAnsi="Times New Roman"/>
          <w:rtl w:val="0"/>
          <w:lang w:val="ru-RU"/>
        </w:rPr>
        <w:t>;</w:t>
      </w:r>
      <w:r>
        <w:rPr>
          <w:rFonts w:ascii="Times New Roman" w:hAnsi="Times New Roman" w:hint="default"/>
          <w:rtl w:val="0"/>
          <w:lang w:val="ru-RU"/>
        </w:rPr>
        <w:t xml:space="preserve"> 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исходя из среднемесячного объема энергопотребления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 выходе из строя или утрате ранее введенного в эксплуатацию прибора учета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случае истечения срока эксплуатации прибора учета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непредставления потребителем в АО «ВКС» показаний прибора учета в установленные сроки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случае отказа потребителя в допуске представителя АО «ВКС» к прибору учета для проведения проверки его состояния и правильности снятия показаний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исходя из норматива потребления коммунальной услуги по электроснабжению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установленного действующим законодательством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в случае отсутствия прибора учета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если помещение ранее не было оснащено прибором учета электроэнергии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либо такой прибор учета не вводился в эксплуатацию</w:t>
      </w:r>
      <w:r>
        <w:rPr>
          <w:rFonts w:ascii="Times New Roman" w:hAnsi="Times New Roman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 истечении периода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течение которого в соответствии с положениями действующего законодательства расчет производится исходя из среднемесячного объема энергопотребления</w:t>
      </w:r>
    </w:p>
    <w:p>
      <w:pPr>
        <w:pStyle w:val="Normal.0"/>
        <w:ind w:firstLine="360"/>
        <w:jc w:val="both"/>
      </w:pPr>
      <w:r>
        <w:rPr>
          <w:rFonts w:ascii="Times New Roman" w:hAnsi="Times New Roman" w:hint="default"/>
          <w:rtl w:val="0"/>
          <w:lang w:val="ru-RU"/>
        </w:rPr>
        <w:t>С информацией о действующих тарифах можно ознакомиться на сайте АО «Владимирские коммунальные системы»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Style w:val="Ссылка"/>
        </w:rPr>
        <w:fldChar w:fldCharType="begin" w:fldLock="0"/>
      </w:r>
      <w:r>
        <w:rPr>
          <w:rStyle w:val="Ссылка"/>
        </w:rPr>
        <w:instrText xml:space="preserve"> HYPERLINK "http://vladcomsys.ru/info/tarif/"</w:instrText>
      </w:r>
      <w:r>
        <w:rPr>
          <w:rStyle w:val="Ссылка"/>
        </w:rPr>
        <w:fldChar w:fldCharType="separate" w:fldLock="0"/>
      </w:r>
      <w:r>
        <w:rPr>
          <w:rStyle w:val="Ссылка"/>
          <w:rtl w:val="0"/>
          <w:lang w:val="ru-RU"/>
        </w:rPr>
        <w:t xml:space="preserve">«Тарифы на электрическую энергию </w:t>
      </w:r>
      <w:r>
        <w:rPr>
          <w:rStyle w:val="Ссылка"/>
          <w:rtl w:val="0"/>
          <w:lang w:val="ru-RU"/>
        </w:rPr>
        <w:t>(</w:t>
      </w:r>
      <w:r>
        <w:rPr>
          <w:rStyle w:val="Ссылка"/>
          <w:rtl w:val="0"/>
          <w:lang w:val="ru-RU"/>
        </w:rPr>
        <w:t>мощность</w:t>
      </w:r>
      <w:r>
        <w:rPr>
          <w:rStyle w:val="Ссылка"/>
          <w:rtl w:val="0"/>
          <w:lang w:val="ru-RU"/>
        </w:rPr>
        <w:t>)</w:t>
      </w:r>
      <w:r>
        <w:rPr>
          <w:rStyle w:val="Ссылка"/>
          <w:rtl w:val="0"/>
          <w:lang w:val="ru-RU"/>
        </w:rPr>
        <w:t>»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:u w:val="none" w:color="000000"/>
      <w14:shadow w14:sx="100000" w14:sy="100000" w14:kx="0" w14:ky="0" w14:algn="tl" w14:blurRad="50800" w14:dist="19050" w14:dir="2700000">
        <w14:srgbClr w14:val="000000">
          <w14:alpha w14:val="60000"/>
        </w14:srgbClr>
      </w14:shadow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outline w:val="0"/>
      <w:color w:val="000000"/>
      <w:u w:val="none" w:color="000000"/>
      <w14:shadow w14:sx="100000" w14:sy="100000" w14:kx="0" w14:ky="0" w14:algn="tl" w14:blurRad="50800" w14:dist="19050" w14:dir="2700000">
        <w14:srgbClr w14:val="000000">
          <w14:alpha w14:val="60000"/>
        </w14:srgbClr>
      </w14:shadow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