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65" w:rsidRDefault="000D5365">
      <w:pPr>
        <w:spacing w:after="1" w:line="220" w:lineRule="atLeast"/>
        <w:jc w:val="both"/>
        <w:outlineLvl w:val="0"/>
      </w:pPr>
    </w:p>
    <w:p w:rsidR="000D5365" w:rsidRDefault="000D536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ДЕПАРТАМЕНТ ЦЕН И ТАРИФОВ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ВЛАДИМИРСКОЙ ОБЛАСТИ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июня 2019 г. N 23/7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 ЕДИНЫХ (КОТЛОВЫХ) ТАРИФОВ НА УСЛУГИ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ПЕРЕДАЧЕ ЭЛЕКТРИЧЕСКОЙ ЭНЕРГИИ ПО СЕТЯМ </w:t>
      </w:r>
      <w:proofErr w:type="gramStart"/>
      <w:r>
        <w:rPr>
          <w:rFonts w:ascii="Calibri" w:hAnsi="Calibri" w:cs="Calibri"/>
          <w:b/>
        </w:rPr>
        <w:t>ТЕРРИТОРИАЛЬНЫХ</w:t>
      </w:r>
      <w:proofErr w:type="gramEnd"/>
    </w:p>
    <w:p w:rsidR="000D5365" w:rsidRDefault="000D5365" w:rsidP="000D5365">
      <w:pPr>
        <w:spacing w:after="1" w:line="2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СЕТЕВЫХ ОРГАНИЗАЦИЙ ВЛАДИМИРСКОЙ ОБЛАСТИ</w:t>
      </w:r>
    </w:p>
    <w:p w:rsidR="000D5365" w:rsidRDefault="000D5365" w:rsidP="000D5365">
      <w:pPr>
        <w:spacing w:after="1" w:line="220" w:lineRule="atLeast"/>
        <w:jc w:val="center"/>
      </w:pPr>
      <w:bookmarkStart w:id="0" w:name="_GoBack"/>
      <w:bookmarkEnd w:id="0"/>
    </w:p>
    <w:p w:rsidR="000D5365" w:rsidRDefault="000D5365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27.12.2004 </w:t>
      </w:r>
      <w:hyperlink r:id="rId7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 N 1442-э, во исполнение приказа Федеральной антимонопольной службы от 29.05.2019 N 683/19 "Об отмене постановления Департамента цен и тарифов администрации Владимирской области</w:t>
      </w:r>
      <w:proofErr w:type="gramEnd"/>
      <w:r>
        <w:rPr>
          <w:rFonts w:ascii="Calibri" w:hAnsi="Calibri" w:cs="Calibri"/>
        </w:rPr>
        <w:t xml:space="preserve"> "Об установлении единых котловых тарифов на услуги по передаче электрической энергии по сетям территориальных сетевых организаций Владимирской области", на основании </w:t>
      </w:r>
      <w:proofErr w:type="gramStart"/>
      <w:r>
        <w:rPr>
          <w:rFonts w:ascii="Calibri" w:hAnsi="Calibri" w:cs="Calibri"/>
        </w:rPr>
        <w:t>протокола заседания правления департамента цен</w:t>
      </w:r>
      <w:proofErr w:type="gramEnd"/>
      <w:r>
        <w:rPr>
          <w:rFonts w:ascii="Calibri" w:hAnsi="Calibri" w:cs="Calibri"/>
        </w:rPr>
        <w:t xml:space="preserve"> и тарифов администрации области от 28.06.2019 N 23 департамент цен и тарифов администрации области постановляет: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Установить с 01.07.2019 по 31.12.2019 единые (котловые) тарифы на услуги по передаче электрической энергии по сетям территориальных сетевых организаций Владимирской области с календарной разбивкой согласно </w:t>
      </w:r>
      <w:hyperlink w:anchor="P38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7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 с 01 июля 2019 года: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28.12.2018 N 56/1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области";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департамента цен и тарифов администрации области от 14.02.2019 N 5/4 "О внесении изменений в отдельные постановления департамента цен и тарифов администрации области";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департамента цен и тарифов администрации области от 21.03.2019 N 11/11 "О внесении изменений в отдельные постановления департамента цен и тарифов администрации области".</w:t>
      </w:r>
    </w:p>
    <w:p w:rsidR="000D5365" w:rsidRDefault="000D536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Директор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цен и тарифов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Владимирской области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М.С.НОВОСЕЛОВА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цен и тарифов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Владимирской области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от 28.06.2019 N 23/7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bookmarkStart w:id="1" w:name="P38"/>
      <w:bookmarkEnd w:id="1"/>
      <w:r>
        <w:rPr>
          <w:rFonts w:ascii="Calibri" w:hAnsi="Calibri" w:cs="Calibri"/>
          <w:b/>
        </w:rPr>
        <w:t>ЕДИНЫЕ (КОТЛОВЫЕ) ТАРИФЫ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УСЛУГИ ПО ПЕРЕДАЧЕ ЭЛЕКТРИЧЕСКОЙ ЭНЕРГИИ ПО СЕТЯМ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 РОССИЙСКОЙ ФЕДЕРАЦИИ, ПОСТАВЛЯЕМОЙ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ПРОЧИМ ПОТРЕБИТЕЛЯМ НА 2019 ГОД</w:t>
      </w:r>
    </w:p>
    <w:p w:rsidR="000D5365" w:rsidRDefault="000D5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5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департамента цен и тарифов</w:t>
            </w:r>
            <w:proofErr w:type="gramEnd"/>
          </w:p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администрации Владимирской области</w:t>
            </w:r>
          </w:p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09.07.2019 N 25/6)</w:t>
            </w:r>
          </w:p>
        </w:tc>
      </w:tr>
    </w:tbl>
    <w:p w:rsidR="000D5365" w:rsidRDefault="000D5365">
      <w:pPr>
        <w:spacing w:after="1" w:line="220" w:lineRule="atLeast"/>
        <w:jc w:val="both"/>
      </w:pPr>
    </w:p>
    <w:p w:rsidR="000D5365" w:rsidRDefault="000D5365">
      <w:pPr>
        <w:sectPr w:rsidR="000D5365" w:rsidSect="000B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2"/>
        <w:gridCol w:w="1644"/>
        <w:gridCol w:w="1415"/>
        <w:gridCol w:w="794"/>
        <w:gridCol w:w="1304"/>
        <w:gridCol w:w="1304"/>
        <w:gridCol w:w="1417"/>
        <w:gridCol w:w="1417"/>
      </w:tblGrid>
      <w:tr w:rsidR="000D5365">
        <w:tc>
          <w:tcPr>
            <w:tcW w:w="907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02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651" w:type="dxa"/>
            <w:gridSpan w:val="6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D5365">
        <w:tc>
          <w:tcPr>
            <w:tcW w:w="907" w:type="dxa"/>
            <w:vMerge/>
          </w:tcPr>
          <w:p w:rsidR="000D5365" w:rsidRDefault="000D5365"/>
        </w:tc>
        <w:tc>
          <w:tcPr>
            <w:tcW w:w="3402" w:type="dxa"/>
            <w:vMerge/>
          </w:tcPr>
          <w:p w:rsidR="000D5365" w:rsidRDefault="000D5365"/>
        </w:tc>
        <w:tc>
          <w:tcPr>
            <w:tcW w:w="1644" w:type="dxa"/>
            <w:vMerge/>
          </w:tcPr>
          <w:p w:rsidR="000D5365" w:rsidRDefault="000D5365"/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46" w:type="dxa"/>
            <w:gridSpan w:val="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651" w:type="dxa"/>
            <w:gridSpan w:val="6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697" w:type="dxa"/>
            <w:gridSpan w:val="8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862253,27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940286,82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1349667,59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1583342,15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155,34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354,06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407,22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773,77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1,73260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2,17624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2,57440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3,55896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994563,48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446910,57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10678,10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401214,93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135759,88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397,26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137,78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572,05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327,02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046" w:type="dxa"/>
            <w:gridSpan w:val="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651" w:type="dxa"/>
            <w:gridSpan w:val="6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697" w:type="dxa"/>
            <w:gridSpan w:val="8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874423,36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953558,30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1368717,19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1605689,90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364,68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419,44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796,98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1,80190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2,26329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2,67738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3,70132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1062449,52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484211,85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10539,63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425727,15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141970,89</w:t>
            </w:r>
          </w:p>
        </w:tc>
      </w:tr>
      <w:tr w:rsidR="000D5365">
        <w:tc>
          <w:tcPr>
            <w:tcW w:w="90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02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415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433,64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150,72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626,40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423,20</w:t>
            </w:r>
          </w:p>
        </w:tc>
      </w:tr>
    </w:tbl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1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Размер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экономически обоснованных единых (котловых) тарифов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услуги по передаче электрической энергии по сетям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 Российской Федерации на 2019 год</w:t>
      </w:r>
    </w:p>
    <w:p w:rsidR="000D5365" w:rsidRDefault="000D536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1644"/>
        <w:gridCol w:w="1304"/>
        <w:gridCol w:w="1304"/>
        <w:gridCol w:w="1304"/>
        <w:gridCol w:w="1417"/>
      </w:tblGrid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329" w:type="dxa"/>
            <w:gridSpan w:val="4"/>
          </w:tcPr>
          <w:p w:rsidR="000D5365" w:rsidRDefault="000D5365">
            <w:pPr>
              <w:spacing w:after="1" w:line="220" w:lineRule="atLeast"/>
            </w:pP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551" w:type="dxa"/>
            <w:vMerge/>
          </w:tcPr>
          <w:p w:rsidR="000D5365" w:rsidRDefault="000D5365"/>
        </w:tc>
        <w:tc>
          <w:tcPr>
            <w:tcW w:w="1644" w:type="dxa"/>
            <w:vMerge/>
          </w:tcPr>
          <w:p w:rsidR="000D5365" w:rsidRDefault="000D5365"/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24" w:type="dxa"/>
            <w:gridSpan w:val="6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195" w:type="dxa"/>
            <w:gridSpan w:val="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</w:t>
            </w:r>
            <w:r>
              <w:rPr>
                <w:rFonts w:ascii="Calibri" w:hAnsi="Calibri" w:cs="Calibri"/>
              </w:rPr>
              <w:lastRenderedPageBreak/>
              <w:t>указываются без учета НДС)</w:t>
            </w:r>
          </w:p>
        </w:tc>
        <w:tc>
          <w:tcPr>
            <w:tcW w:w="5329" w:type="dxa"/>
            <w:gridSpan w:val="4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 полугодие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1.1.1.</w:t>
            </w:r>
          </w:p>
        </w:tc>
        <w:tc>
          <w:tcPr>
            <w:tcW w:w="9524" w:type="dxa"/>
            <w:gridSpan w:val="6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634257,27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868986,89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951273,28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1275914,19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155,34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354,06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407,22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773,77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1,33534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2,03846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2,00235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3,23194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95" w:type="dxa"/>
            <w:gridSpan w:val="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29" w:type="dxa"/>
            <w:gridSpan w:val="4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9524" w:type="dxa"/>
            <w:gridSpan w:val="6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2551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631474,04</w:t>
            </w:r>
          </w:p>
        </w:tc>
        <w:tc>
          <w:tcPr>
            <w:tcW w:w="130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877833,64</w:t>
            </w:r>
          </w:p>
        </w:tc>
        <w:tc>
          <w:tcPr>
            <w:tcW w:w="130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957037,30</w:t>
            </w:r>
          </w:p>
        </w:tc>
        <w:tc>
          <w:tcPr>
            <w:tcW w:w="1417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1275929,04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10488" w:type="dxa"/>
            <w:gridSpan w:val="7"/>
            <w:tcBorders>
              <w:top w:val="nil"/>
            </w:tcBorders>
          </w:tcPr>
          <w:p w:rsidR="000D5365" w:rsidRDefault="000D5365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(п. 1.2.1.1 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цен и тарифов администрации</w:t>
            </w:r>
            <w:proofErr w:type="gramEnd"/>
          </w:p>
          <w:p w:rsidR="000D5365" w:rsidRDefault="000D536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Владимирской области от 09.07.2019 N 25/6)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160,00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364,68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419,44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796,98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551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1,36826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2,11257</w:t>
            </w:r>
          </w:p>
        </w:tc>
        <w:tc>
          <w:tcPr>
            <w:tcW w:w="130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2,05097</w:t>
            </w:r>
          </w:p>
        </w:tc>
        <w:tc>
          <w:tcPr>
            <w:tcW w:w="141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3,27812</w:t>
            </w:r>
          </w:p>
        </w:tc>
      </w:tr>
    </w:tbl>
    <w:p w:rsidR="000D5365" w:rsidRDefault="000D5365">
      <w:pPr>
        <w:sectPr w:rsidR="000D53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365" w:rsidRDefault="000D536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644"/>
        <w:gridCol w:w="1984"/>
        <w:gridCol w:w="1701"/>
      </w:tblGrid>
      <w:tr w:rsidR="000D5365">
        <w:tc>
          <w:tcPr>
            <w:tcW w:w="62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0D5365">
        <w:tc>
          <w:tcPr>
            <w:tcW w:w="624" w:type="dxa"/>
            <w:vMerge/>
          </w:tcPr>
          <w:p w:rsidR="000D5365" w:rsidRDefault="000D5365"/>
        </w:tc>
        <w:tc>
          <w:tcPr>
            <w:tcW w:w="3118" w:type="dxa"/>
            <w:vMerge/>
          </w:tcPr>
          <w:p w:rsidR="000D5365" w:rsidRDefault="000D5365"/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млн.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Филиал "Владимирэнерго" ПАО "МРСК Центра и Приволжья"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6418215,98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107667,83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557,52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АО "ОРЭС-Владимирская область"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1804828,01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26835,18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193,65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Муром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174035,66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9551,71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21,69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Александровэлектросеть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150440,79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2911,48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19,20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 xml:space="preserve">" (ОП "Вязниковская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81623,27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765,77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12,63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Ковровэлектросетьремонт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80867,06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164,78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65957,31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96,18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5,88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"Энергетик", г. Карабаново</w:t>
            </w:r>
          </w:p>
        </w:tc>
        <w:tc>
          <w:tcPr>
            <w:tcW w:w="164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57351,38</w:t>
            </w:r>
          </w:p>
        </w:tc>
        <w:tc>
          <w:tcPr>
            <w:tcW w:w="198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5365" w:rsidRDefault="000D536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цен и тарифов администрации Владимирской области от 09.07.2019 N 25/6)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56090,86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-52,49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Костеревские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</w:t>
            </w:r>
            <w:r>
              <w:rPr>
                <w:rFonts w:ascii="Calibri" w:hAnsi="Calibri" w:cs="Calibri"/>
              </w:rPr>
              <w:lastRenderedPageBreak/>
              <w:t>электрические сети"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50908,30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162,33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СтройГарант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42595,19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993,92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5,93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Радугагорэнерго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38845,32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400,88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4,05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Электросистемы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28159,62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ПАО "Ставровский завод АТО"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26675,99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1,28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"ЭЛРОСС"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26356,89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Московская дирекция по энергообеспечению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23494,49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148,25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ЭнергоСтрой</w:t>
            </w:r>
            <w:proofErr w:type="spellEnd"/>
            <w:r>
              <w:rPr>
                <w:rFonts w:ascii="Calibri" w:hAnsi="Calibri" w:cs="Calibri"/>
              </w:rPr>
              <w:t>", г. Ковров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22383,44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239,59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"ЯРЦЕВО ЭНЕРГО"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21199,58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ЕвроСвет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20887,58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1317,37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2,24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13988,62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Вязники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13356,12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ИП Чесноков М.А.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10970,18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Северная дирекция по энергообеспечению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10429,43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ПромРЭС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8940,86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0,59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ВладЭнергоАктив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4913,66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4843,53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"Группа объединенных фабрик"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4236,10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 им. Ф.Э. Дзержинского"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2334,58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18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"Энергетик", г. Вязники</w:t>
            </w:r>
          </w:p>
        </w:tc>
        <w:tc>
          <w:tcPr>
            <w:tcW w:w="164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2297,35</w:t>
            </w:r>
          </w:p>
        </w:tc>
        <w:tc>
          <w:tcPr>
            <w:tcW w:w="1984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34,89</w:t>
            </w:r>
          </w:p>
        </w:tc>
        <w:tc>
          <w:tcPr>
            <w:tcW w:w="1701" w:type="dxa"/>
            <w:tcBorders>
              <w:bottom w:val="nil"/>
            </w:tcBorders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0D5365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5365" w:rsidRDefault="000D536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цен и тарифов администрации Владимирской области от 09.07.2019 N 25/6)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"КОВРОВ-МОЛЛ"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2053,81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"КАПИТАЛ МАГНЕЗИТ"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2042,21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1,19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Монострой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1302,08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ОАО "Владимирский завод </w:t>
            </w:r>
            <w:r>
              <w:rPr>
                <w:rFonts w:ascii="Calibri" w:hAnsi="Calibri" w:cs="Calibri"/>
              </w:rPr>
              <w:lastRenderedPageBreak/>
              <w:t>"Электроприбор"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1123,53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ОАО "Муромтепловоз"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997,02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D5365">
        <w:tc>
          <w:tcPr>
            <w:tcW w:w="6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18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ПАО "Владимирский химический завод"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366,90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0D5365">
        <w:tc>
          <w:tcPr>
            <w:tcW w:w="3742" w:type="dxa"/>
            <w:gridSpan w:val="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9275112,70</w:t>
            </w:r>
          </w:p>
        </w:tc>
        <w:tc>
          <w:tcPr>
            <w:tcW w:w="198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151237,67</w:t>
            </w:r>
          </w:p>
        </w:tc>
        <w:tc>
          <w:tcPr>
            <w:tcW w:w="17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855,48</w:t>
            </w:r>
          </w:p>
        </w:tc>
      </w:tr>
    </w:tbl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2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Показатели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целей расчета единых (котловых) тарифов на услуги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передаче электрической энергии по сетям субъекта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на 2019 год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ectPr w:rsidR="000D53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24"/>
        <w:gridCol w:w="1201"/>
        <w:gridCol w:w="598"/>
        <w:gridCol w:w="1020"/>
        <w:gridCol w:w="850"/>
        <w:gridCol w:w="930"/>
        <w:gridCol w:w="1164"/>
        <w:gridCol w:w="737"/>
        <w:gridCol w:w="1020"/>
        <w:gridCol w:w="850"/>
        <w:gridCol w:w="933"/>
        <w:gridCol w:w="964"/>
      </w:tblGrid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2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01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  <w:vMerge/>
          </w:tcPr>
          <w:p w:rsidR="000D5365" w:rsidRDefault="000D5365"/>
        </w:tc>
        <w:tc>
          <w:tcPr>
            <w:tcW w:w="1201" w:type="dxa"/>
            <w:vMerge/>
          </w:tcPr>
          <w:p w:rsidR="000D5365" w:rsidRDefault="000D5365"/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  <w:vMerge/>
          </w:tcPr>
          <w:p w:rsidR="000D5365" w:rsidRDefault="000D5365"/>
        </w:tc>
        <w:tc>
          <w:tcPr>
            <w:tcW w:w="1201" w:type="dxa"/>
            <w:vMerge/>
          </w:tcPr>
          <w:p w:rsidR="000D5365" w:rsidRDefault="000D5365"/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</w:pP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1075,97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77,85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765,24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824,26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1065,27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70,40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743,88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821,51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510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526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Calibri" w:hAnsi="Calibri" w:cs="Calibri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32,94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268,88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27,92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263,98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2" w:name="P510"/>
            <w:bookmarkEnd w:id="2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6,74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24,54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25,18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3" w:name="P526"/>
            <w:bookmarkEnd w:id="3"/>
            <w:r>
              <w:rPr>
                <w:rFonts w:ascii="Calibri" w:hAnsi="Calibri" w:cs="Calibri"/>
              </w:rPr>
              <w:lastRenderedPageBreak/>
              <w:t>1.1.3.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108,90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105,79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Граждане - потребители, ведущие садоводство и огородничество для собственных нужд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</w:t>
            </w:r>
            <w:r>
              <w:rPr>
                <w:rFonts w:ascii="Calibri" w:hAnsi="Calibri" w:cs="Calibri"/>
              </w:rPr>
              <w:lastRenderedPageBreak/>
              <w:t>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46,95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45,57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9,98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1.1.4.2.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</w:t>
            </w:r>
            <w:r>
              <w:rPr>
                <w:rFonts w:ascii="Calibri" w:hAnsi="Calibri" w:cs="Calibri"/>
              </w:rPr>
              <w:lastRenderedPageBreak/>
              <w:t>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1.1.4.5.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608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624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3,83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108,51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106,26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4" w:name="P608"/>
            <w:bookmarkEnd w:id="4"/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6,74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5" w:name="P624"/>
            <w:bookmarkEnd w:id="5"/>
            <w:r>
              <w:rPr>
                <w:rFonts w:ascii="Calibri" w:hAnsi="Calibri" w:cs="Calibri"/>
              </w:rPr>
              <w:lastRenderedPageBreak/>
              <w:t>1.2.3.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28,74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49,58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14,54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62,53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1.2.4.1.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Граждане - потребители, ведущие садоводство и огородничество для собственных нужд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14,86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16,84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1.2.4.2.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1.2.4.3.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1.2.4.4.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1.2.4.5.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4562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4504" w:type="dxa"/>
            <w:gridSpan w:val="5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1068,33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77,28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627,19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251,04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1056,84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69,90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626,86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238,02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</w:t>
            </w:r>
            <w:r>
              <w:rPr>
                <w:rFonts w:ascii="Calibri" w:hAnsi="Calibri" w:cs="Calibri"/>
              </w:rPr>
              <w:lastRenderedPageBreak/>
              <w:t>тарифам на услуги по передаче электрической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</w:t>
            </w:r>
            <w:proofErr w:type="gramEnd"/>
            <w:r>
              <w:rPr>
                <w:rFonts w:ascii="Calibri" w:hAnsi="Calibri" w:cs="Calibri"/>
              </w:rPr>
              <w:t xml:space="preserve">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329,24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25,15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213,86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264,67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334,98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23,36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211,36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266,25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29,69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135,65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27,63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135,80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2591" w:type="dxa"/>
            <w:gridSpan w:val="12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16,33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55,42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11,38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58,69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324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01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5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326,69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24,96</w:t>
            </w:r>
          </w:p>
        </w:tc>
        <w:tc>
          <w:tcPr>
            <w:tcW w:w="93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167,85</w:t>
            </w:r>
          </w:p>
        </w:tc>
        <w:tc>
          <w:tcPr>
            <w:tcW w:w="11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73,60</w:t>
            </w:r>
          </w:p>
        </w:tc>
        <w:tc>
          <w:tcPr>
            <w:tcW w:w="73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332,18</w:t>
            </w:r>
          </w:p>
        </w:tc>
        <w:tc>
          <w:tcPr>
            <w:tcW w:w="850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23,20</w:t>
            </w:r>
          </w:p>
        </w:tc>
        <w:tc>
          <w:tcPr>
            <w:tcW w:w="933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172,35</w:t>
            </w:r>
          </w:p>
        </w:tc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71,75</w:t>
            </w:r>
          </w:p>
        </w:tc>
      </w:tr>
    </w:tbl>
    <w:p w:rsidR="000D5365" w:rsidRDefault="000D5365">
      <w:pPr>
        <w:sectPr w:rsidR="000D53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цен и тарифов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Владимирской области</w:t>
      </w:r>
    </w:p>
    <w:p w:rsidR="000D5365" w:rsidRDefault="000D5365">
      <w:pPr>
        <w:spacing w:after="1" w:line="220" w:lineRule="atLeast"/>
        <w:jc w:val="right"/>
      </w:pPr>
      <w:r>
        <w:rPr>
          <w:rFonts w:ascii="Calibri" w:hAnsi="Calibri" w:cs="Calibri"/>
        </w:rPr>
        <w:t>от 28.06.2019 N 23/7</w:t>
      </w: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center"/>
      </w:pPr>
      <w:bookmarkStart w:id="6" w:name="P766"/>
      <w:bookmarkEnd w:id="6"/>
      <w:r>
        <w:rPr>
          <w:rFonts w:ascii="Calibri" w:hAnsi="Calibri" w:cs="Calibri"/>
          <w:b/>
        </w:rPr>
        <w:t>ЕДИНЫЕ (КОТЛОВЫЕ) ТАРИФЫ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УСЛУГИ ПО ПЕРЕДАЧЕ ЭЛЕКТРИЧЕСКОЙ ЭНЕРГИИ ПО СЕТЯМ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 РОССИЙСКОЙ ФЕДЕРАЦИИ, ПОСТАВЛЯЕМОЙ НАСЕЛЕНИЮ</w:t>
      </w:r>
    </w:p>
    <w:p w:rsidR="000D5365" w:rsidRDefault="000D536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ПРИРАВНЕННЫМ К НЕМУ КАТЕГОРИЯМ ПОТРЕБИТЕЛЕЙ НА 2019 ГОД</w:t>
      </w:r>
    </w:p>
    <w:p w:rsidR="000D5365" w:rsidRDefault="000D536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98"/>
        <w:gridCol w:w="1247"/>
        <w:gridCol w:w="1531"/>
        <w:gridCol w:w="1531"/>
      </w:tblGrid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0D5365" w:rsidRDefault="000D536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792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800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</w:t>
            </w:r>
            <w:r>
              <w:rPr>
                <w:rFonts w:ascii="Calibri" w:hAnsi="Calibri" w:cs="Calibri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2,01989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1,90537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7" w:name="P792"/>
            <w:bookmarkEnd w:id="7"/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0,91233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8" w:name="P800"/>
            <w:bookmarkEnd w:id="8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Граждане - потребители, ведущие садоводство и огородничество для собственных нужд.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2,01165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1,91417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0,90574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0,90274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</w:t>
            </w:r>
            <w:r>
              <w:rPr>
                <w:rFonts w:ascii="Calibri" w:hAnsi="Calibri" w:cs="Calibri"/>
              </w:rPr>
              <w:lastRenderedPageBreak/>
              <w:t>коммерческой деятельности.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2,02298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1,90337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848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856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2,70398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2,66678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9" w:name="P848"/>
            <w:bookmarkEnd w:id="9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</w:t>
            </w:r>
            <w:r>
              <w:rPr>
                <w:rFonts w:ascii="Calibri" w:hAnsi="Calibri" w:cs="Calibri"/>
              </w:rP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1,33994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1,31857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bookmarkStart w:id="10" w:name="P856"/>
            <w:bookmarkEnd w:id="10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1,32037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1,33901</w:t>
            </w:r>
          </w:p>
        </w:tc>
      </w:tr>
      <w:tr w:rsidR="000D5365">
        <w:tc>
          <w:tcPr>
            <w:tcW w:w="964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Граждане - потребители, ведущие садоводство и огородничество для собственных нужд.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1,31805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1,33266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8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2,69644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2,69147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2.4.3.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1,33107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1,33009</w:t>
            </w:r>
          </w:p>
        </w:tc>
      </w:tr>
      <w:tr w:rsidR="000D5365">
        <w:tc>
          <w:tcPr>
            <w:tcW w:w="964" w:type="dxa"/>
            <w:vMerge w:val="restart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2.4.4.</w:t>
            </w:r>
          </w:p>
        </w:tc>
        <w:tc>
          <w:tcPr>
            <w:tcW w:w="8107" w:type="dxa"/>
            <w:gridSpan w:val="4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0D5365">
        <w:tc>
          <w:tcPr>
            <w:tcW w:w="964" w:type="dxa"/>
            <w:vMerge/>
          </w:tcPr>
          <w:p w:rsidR="000D5365" w:rsidRDefault="000D5365"/>
        </w:tc>
        <w:tc>
          <w:tcPr>
            <w:tcW w:w="3798" w:type="dxa"/>
          </w:tcPr>
          <w:p w:rsidR="000D5365" w:rsidRDefault="000D5365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0D5365" w:rsidRDefault="000D536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2,70398</w:t>
            </w:r>
          </w:p>
        </w:tc>
        <w:tc>
          <w:tcPr>
            <w:tcW w:w="1531" w:type="dxa"/>
          </w:tcPr>
          <w:p w:rsidR="000D5365" w:rsidRDefault="000D536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2,62196</w:t>
            </w:r>
          </w:p>
        </w:tc>
      </w:tr>
    </w:tbl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0D5365" w:rsidRDefault="000D5365">
      <w:pPr>
        <w:spacing w:before="220" w:after="1" w:line="220" w:lineRule="atLeast"/>
        <w:ind w:firstLine="540"/>
        <w:jc w:val="both"/>
      </w:pPr>
      <w:bookmarkStart w:id="11" w:name="P896"/>
      <w:bookmarkEnd w:id="11"/>
      <w:proofErr w:type="gramStart"/>
      <w:r>
        <w:rPr>
          <w:rFonts w:ascii="Calibri" w:hAnsi="Calibri" w:cs="Calibri"/>
        </w:rPr>
        <w:lastRenderedPageBreak/>
        <w:t xml:space="preserve">&lt;1&gt;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spacing w:after="1" w:line="220" w:lineRule="atLeast"/>
        <w:jc w:val="both"/>
      </w:pPr>
    </w:p>
    <w:p w:rsidR="000D5365" w:rsidRDefault="000D536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4A9" w:rsidRDefault="000D5365"/>
    <w:sectPr w:rsidR="006A04A9" w:rsidSect="002A1A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5"/>
    <w:rsid w:val="000D5365"/>
    <w:rsid w:val="00970FE4"/>
    <w:rsid w:val="00D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CE50D49389A6ABE86354EC53B68868C92B2A121E25E6A780500466B10AE0138CBD2778F44817FD75F83D9F2C749074DCD2715CCFAB18eB4FF" TargetMode="External"/><Relationship Id="rId13" Type="http://schemas.openxmlformats.org/officeDocument/2006/relationships/hyperlink" Target="consultantplus://offline/ref=DEE6CE50D49389A6ABE87D59FA3FE88268CB7327101B2BB2F8D4565339E10CB553CCBB723BB04517FC7EAC6CDD722DC33597DF7447D3AB1EA8485752e041F" TargetMode="External"/><Relationship Id="rId18" Type="http://schemas.openxmlformats.org/officeDocument/2006/relationships/hyperlink" Target="consultantplus://offline/ref=DEE6CE50D49389A6ABE86354EC53B68869C2252E111C25E6A780500466B10AE0138CBD2770F44342AD3AF961D97C679276DCD07643eC4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EE6CE50D49389A6ABE86354EC53B68869C22A2C171A25E6A780500466B10AE0018CE52B7AF15616FB60AE6CDAe740F" TargetMode="External"/><Relationship Id="rId12" Type="http://schemas.openxmlformats.org/officeDocument/2006/relationships/hyperlink" Target="consultantplus://offline/ref=DEE6CE50D49389A6ABE87D59FA3FE88268CB7327101B2FB7F3D2565339E10CB553CCBB723BB04517FC7EAC6DD9722DC33597DF7447D3AB1EA8485752e041F" TargetMode="External"/><Relationship Id="rId17" Type="http://schemas.openxmlformats.org/officeDocument/2006/relationships/hyperlink" Target="consultantplus://offline/ref=DEE6CE50D49389A6ABE86354EC53B68869C2252E111C25E6A780500466B10AE0138CBD2770F44342AD3AF961D97C679276DCD07643eC4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6CE50D49389A6ABE87D59FA3FE88268CB7327101B2BB2F8D4565339E10CB553CCBB723BB04517FC7EAC6DDE722DC33597DF7447D3AB1EA8485752e041F" TargetMode="External"/><Relationship Id="rId20" Type="http://schemas.openxmlformats.org/officeDocument/2006/relationships/hyperlink" Target="consultantplus://offline/ref=DEE6CE50D49389A6ABE86354EC53B68869C2252E111C25E6A780500466B10AE0138CBD2770F44342AD3AF961D97C679276DCD07643eC4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CE50D49389A6ABE86354EC53B68869C2252E111C25E6A780500466B10AE0018CE52B7AF15616FB60AE6CDAe740F" TargetMode="External"/><Relationship Id="rId11" Type="http://schemas.openxmlformats.org/officeDocument/2006/relationships/hyperlink" Target="consultantplus://offline/ref=DEE6CE50D49389A6ABE87D59FA3FE88268CB7327101B2EB8FAD3565339E10CB553CCBB723BB04517FC7EAC6CD2722DC33597DF7447D3AB1EA8485752e041F" TargetMode="External"/><Relationship Id="rId5" Type="http://schemas.openxmlformats.org/officeDocument/2006/relationships/hyperlink" Target="consultantplus://offline/ref=DEE6CE50D49389A6ABE86354EC53B68869C02E2D181C25E6A780500466B10AE0018CE52B7AF15616FB60AE6CDAe740F" TargetMode="External"/><Relationship Id="rId15" Type="http://schemas.openxmlformats.org/officeDocument/2006/relationships/hyperlink" Target="consultantplus://offline/ref=DEE6CE50D49389A6ABE87D59FA3FE88268CB7327101B2BB2F8D4565339E10CB553CCBB723BB04517FC7EAC6DDF722DC33597DF7447D3AB1EA8485752e041F" TargetMode="External"/><Relationship Id="rId10" Type="http://schemas.openxmlformats.org/officeDocument/2006/relationships/hyperlink" Target="consultantplus://offline/ref=DEE6CE50D49389A6ABE87D59FA3FE88268CB7327101B2FB8FCD4565339E10CB553CCBB7229B01D1BFE7BB26CDC677B9270eC4BF" TargetMode="External"/><Relationship Id="rId19" Type="http://schemas.openxmlformats.org/officeDocument/2006/relationships/hyperlink" Target="consultantplus://offline/ref=DEE6CE50D49389A6ABE86354EC53B68869C2252E111C25E6A780500466B10AE0138CBD2770F44342AD3AF961D97C679276DCD07643eC4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CE50D49389A6ABE86354EC53B68869C12E28141F25E6A780500466B10AE0138CBD2778F44817FD75F83D9F2C749074DCD2715CCFAB18eB4FF" TargetMode="External"/><Relationship Id="rId14" Type="http://schemas.openxmlformats.org/officeDocument/2006/relationships/hyperlink" Target="consultantplus://offline/ref=DEE6CE50D49389A6ABE87D59FA3FE88268CB7327101B2BB2F8D4565339E10CB553CCBB723BB04517FC7EAC6CDD722DC33597DF7447D3AB1EA8485752e04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Надежда Валерьевна</dc:creator>
  <cp:lastModifiedBy>Астафьева Надежда Валерьевна</cp:lastModifiedBy>
  <cp:revision>1</cp:revision>
  <dcterms:created xsi:type="dcterms:W3CDTF">2019-07-25T05:55:00Z</dcterms:created>
  <dcterms:modified xsi:type="dcterms:W3CDTF">2019-07-25T06:00:00Z</dcterms:modified>
</cp:coreProperties>
</file>